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06EF4">
        <w:rPr>
          <w:rFonts w:ascii="Times New Roman" w:hAnsi="Times New Roman" w:cs="Times New Roman"/>
          <w:b/>
        </w:rPr>
        <w:t>8</w:t>
      </w:r>
      <w:r w:rsidR="00790C9B">
        <w:rPr>
          <w:rFonts w:ascii="Times New Roman" w:hAnsi="Times New Roman" w:cs="Times New Roman"/>
          <w:b/>
        </w:rPr>
        <w:t>2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0C9B">
        <w:rPr>
          <w:rFonts w:ascii="Times New Roman" w:hAnsi="Times New Roman" w:cs="Times New Roman"/>
          <w:b/>
        </w:rPr>
        <w:t xml:space="preserve">   18 августа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A178C" w:rsidRPr="00655296" w:rsidTr="00450FAA">
        <w:tc>
          <w:tcPr>
            <w:tcW w:w="567" w:type="dxa"/>
          </w:tcPr>
          <w:p w:rsidR="005A178C" w:rsidRPr="00655296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5A178C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  <w:p w:rsidR="001564AC" w:rsidRPr="00655296" w:rsidRDefault="001564AC" w:rsidP="004B4064">
            <w:pPr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78C" w:rsidRPr="00655296" w:rsidRDefault="005A178C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A178C" w:rsidRDefault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A178C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A178C" w:rsidRPr="00655296" w:rsidRDefault="003C0023"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</w:t>
            </w:r>
            <w:r>
              <w:rPr>
                <w:rFonts w:ascii="Times New Roman" w:hAnsi="Times New Roman"/>
                <w:b/>
              </w:rPr>
              <w:t>, 07.07.2021 г</w:t>
            </w:r>
            <w:r w:rsidR="00A533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A533C1" w:rsidRPr="00D64EAF" w:rsidRDefault="00A533C1" w:rsidP="00A533C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A600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4243D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BA6000">
              <w:rPr>
                <w:rFonts w:ascii="Times New Roman" w:hAnsi="Times New Roman" w:cs="Times New Roman"/>
                <w:color w:val="000000"/>
              </w:rPr>
              <w:t xml:space="preserve"> по 23.08.2021 г.</w:t>
            </w:r>
          </w:p>
          <w:p w:rsidR="0030734F" w:rsidRPr="00855A1B" w:rsidRDefault="00A533C1" w:rsidP="00BA600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BA6000">
              <w:rPr>
                <w:rFonts w:ascii="Times New Roman" w:hAnsi="Times New Roman" w:cs="Times New Roman"/>
              </w:rPr>
              <w:t>22.09</w:t>
            </w:r>
            <w:r>
              <w:rPr>
                <w:rFonts w:ascii="Times New Roman" w:hAnsi="Times New Roman" w:cs="Times New Roman"/>
              </w:rPr>
              <w:t>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7751006009</w:t>
            </w:r>
          </w:p>
        </w:tc>
        <w:tc>
          <w:tcPr>
            <w:tcW w:w="1276" w:type="dxa"/>
          </w:tcPr>
          <w:p w:rsidR="00B84CD8" w:rsidRPr="00655296" w:rsidRDefault="00B84C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3C0023" w:rsidP="00B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4CD8"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 w:rsidR="00B84CD8">
              <w:rPr>
                <w:rFonts w:ascii="Times New Roman" w:hAnsi="Times New Roman" w:cs="Times New Roman"/>
              </w:rPr>
              <w:t>1.5</w:t>
            </w:r>
            <w:r w:rsidR="00B84CD8"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 w:rsidR="00B84CD8"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="00B84CD8" w:rsidRPr="00655296">
              <w:rPr>
                <w:rFonts w:ascii="Times New Roman" w:hAnsi="Times New Roman" w:cs="Times New Roman"/>
              </w:rPr>
              <w:t>плановой проверки</w:t>
            </w:r>
            <w:r w:rsidR="00CC525C">
              <w:rPr>
                <w:rFonts w:ascii="Times New Roman" w:hAnsi="Times New Roman" w:cs="Times New Roman"/>
              </w:rPr>
              <w:t>.</w:t>
            </w:r>
          </w:p>
          <w:p w:rsidR="003C0023" w:rsidRDefault="003C0023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</w:t>
            </w:r>
          </w:p>
        </w:tc>
        <w:tc>
          <w:tcPr>
            <w:tcW w:w="5103" w:type="dxa"/>
          </w:tcPr>
          <w:p w:rsidR="00BA6000" w:rsidRPr="00D64EAF" w:rsidRDefault="00BA6000" w:rsidP="00BA600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18.08.2021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21.09</w:t>
            </w:r>
            <w:r>
              <w:rPr>
                <w:rFonts w:ascii="Times New Roman" w:hAnsi="Times New Roman" w:cs="Times New Roman"/>
                <w:color w:val="000000"/>
              </w:rPr>
              <w:t>.2021 г.</w:t>
            </w:r>
          </w:p>
          <w:p w:rsidR="00B84CD8" w:rsidRPr="00F94DF8" w:rsidRDefault="00BA6000" w:rsidP="00BA6000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lastRenderedPageBreak/>
              <w:t>22.09.2021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4052DE" w:rsidRDefault="004052DE" w:rsidP="00CC525C">
            <w:pPr>
              <w:ind w:right="54"/>
              <w:rPr>
                <w:rFonts w:ascii="Times New Roman" w:hAnsi="Times New Roman" w:cs="Times New Roman"/>
              </w:rPr>
            </w:pPr>
            <w:r w:rsidRPr="004052DE">
              <w:rPr>
                <w:rFonts w:ascii="Times New Roman" w:hAnsi="Times New Roman" w:cs="Times New Roman"/>
              </w:rPr>
              <w:t>АНО "МЦСЭИ"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052DE"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 w:rsidR="004052DE">
              <w:rPr>
                <w:rFonts w:ascii="Times New Roman" w:hAnsi="Times New Roman" w:cs="Times New Roman"/>
              </w:rPr>
              <w:t>1.5</w:t>
            </w:r>
            <w:r w:rsidR="004052DE"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 w:rsidR="004052DE"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="004052DE" w:rsidRPr="00655296">
              <w:rPr>
                <w:rFonts w:ascii="Times New Roman" w:hAnsi="Times New Roman" w:cs="Times New Roman"/>
              </w:rPr>
              <w:t>плановой проверки</w:t>
            </w:r>
            <w:r w:rsidR="004243DD">
              <w:rPr>
                <w:rFonts w:ascii="Times New Roman" w:hAnsi="Times New Roman" w:cs="Times New Roman"/>
              </w:rPr>
              <w:t>:</w:t>
            </w:r>
          </w:p>
          <w:p w:rsidR="004243DD" w:rsidRDefault="0042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действующий договор страхования гражданской ответственности</w:t>
            </w:r>
          </w:p>
          <w:p w:rsidR="004243DD" w:rsidRDefault="003C0023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243DD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EC0AF7">
              <w:rPr>
                <w:rFonts w:ascii="Times New Roman" w:hAnsi="Times New Roman"/>
                <w:b/>
              </w:rPr>
              <w:t>25.05</w:t>
            </w:r>
            <w:r w:rsidR="004243DD">
              <w:rPr>
                <w:rFonts w:ascii="Times New Roman" w:hAnsi="Times New Roman"/>
                <w:b/>
              </w:rPr>
              <w:t>.2021 г.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07.07.2021 г</w:t>
            </w:r>
            <w:r>
              <w:rPr>
                <w:rFonts w:ascii="Times New Roman" w:hAnsi="Times New Roman"/>
                <w:b/>
              </w:rPr>
              <w:t>.</w:t>
            </w:r>
            <w:r w:rsidR="004243DD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6000" w:rsidRPr="003E2A72" w:rsidRDefault="00BA6000" w:rsidP="00BA6000">
            <w:pPr>
              <w:ind w:left="34" w:right="54" w:firstLine="283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 w:rsidRPr="004052DE">
              <w:rPr>
                <w:rFonts w:ascii="Times New Roman" w:hAnsi="Times New Roman" w:cs="Times New Roman"/>
              </w:rPr>
              <w:t xml:space="preserve"> </w:t>
            </w:r>
            <w:r w:rsidRPr="004052DE">
              <w:rPr>
                <w:rFonts w:ascii="Times New Roman" w:hAnsi="Times New Roman" w:cs="Times New Roman"/>
              </w:rPr>
              <w:t>АНО "МЦСЭИ"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21.09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BA6000" w:rsidRDefault="00BA6000" w:rsidP="00BA6000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4052DE">
              <w:rPr>
                <w:rFonts w:ascii="Times New Roman" w:hAnsi="Times New Roman" w:cs="Times New Roman"/>
              </w:rPr>
              <w:t>АНО "МЦСЭИ"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A72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B84CD8" w:rsidRPr="00F94DF8" w:rsidRDefault="00B84CD8" w:rsidP="004243DD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6000" w:rsidRPr="003A2BD1" w:rsidTr="00450FAA">
        <w:tc>
          <w:tcPr>
            <w:tcW w:w="567" w:type="dxa"/>
          </w:tcPr>
          <w:p w:rsidR="00BA6000" w:rsidRPr="003E2A72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ООО «Детектор Системс» </w:t>
            </w:r>
          </w:p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BA6000" w:rsidRPr="003E2A72" w:rsidRDefault="00BA6000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A6000" w:rsidRPr="003E2A72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E2A7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A6000" w:rsidRPr="003E2A72" w:rsidRDefault="00BA6000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</w:t>
            </w:r>
          </w:p>
        </w:tc>
        <w:tc>
          <w:tcPr>
            <w:tcW w:w="5103" w:type="dxa"/>
          </w:tcPr>
          <w:p w:rsidR="00BA6000" w:rsidRPr="00D64EAF" w:rsidRDefault="00BA6000" w:rsidP="00362DA5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18.08.2021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21.09</w:t>
            </w:r>
            <w:r>
              <w:rPr>
                <w:rFonts w:ascii="Times New Roman" w:hAnsi="Times New Roman" w:cs="Times New Roman"/>
                <w:color w:val="000000"/>
              </w:rPr>
              <w:t>.2021 г.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A6000" w:rsidRPr="003A2BD1" w:rsidTr="00450FAA">
        <w:tc>
          <w:tcPr>
            <w:tcW w:w="567" w:type="dxa"/>
          </w:tcPr>
          <w:p w:rsidR="00BA6000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A6000" w:rsidRPr="00655296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BA6000" w:rsidRPr="00655296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4052DE">
              <w:rPr>
                <w:rFonts w:ascii="Times New Roman" w:hAnsi="Times New Roman" w:cs="Times New Roman"/>
              </w:rPr>
              <w:t>165904432406</w:t>
            </w:r>
          </w:p>
        </w:tc>
        <w:tc>
          <w:tcPr>
            <w:tcW w:w="1276" w:type="dxa"/>
          </w:tcPr>
          <w:p w:rsidR="00BA6000" w:rsidRPr="00655296" w:rsidRDefault="00BA6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A6000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6000" w:rsidRDefault="00BA6000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25.05.2021 г., 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6000" w:rsidRPr="003E2A72" w:rsidRDefault="00BA6000" w:rsidP="00BA6000">
            <w:pPr>
              <w:ind w:right="54"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 w:rsidRPr="00405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21.09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BA6000" w:rsidRDefault="00BA6000" w:rsidP="00362DA5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A72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6000" w:rsidRPr="003A2BD1" w:rsidTr="00450FAA">
        <w:tc>
          <w:tcPr>
            <w:tcW w:w="567" w:type="dxa"/>
          </w:tcPr>
          <w:p w:rsidR="00BA6000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BA6000" w:rsidRPr="00655296" w:rsidRDefault="00BA6000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A6000" w:rsidRDefault="00BA6000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BA6000" w:rsidRDefault="00BA6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A6000" w:rsidRDefault="00BA6000" w:rsidP="0042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6000" w:rsidRDefault="00BA6000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действующий договор страхования гражданской ответственности;</w:t>
            </w:r>
          </w:p>
          <w:p w:rsidR="00BA6000" w:rsidRDefault="00BA6000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1 специалист, внесенный в НРС НОПРИЗ</w:t>
            </w:r>
          </w:p>
          <w:p w:rsidR="00BA6000" w:rsidRPr="00655296" w:rsidRDefault="00BA6000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6000" w:rsidRPr="003E2A72" w:rsidRDefault="00BA6000" w:rsidP="00BA6000">
            <w:pPr>
              <w:ind w:right="54"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 w:rsidRPr="004052DE">
              <w:rPr>
                <w:rFonts w:ascii="Times New Roman" w:hAnsi="Times New Roman" w:cs="Times New Roman"/>
              </w:rPr>
              <w:t xml:space="preserve">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21.09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BA6000" w:rsidRDefault="00BA6000" w:rsidP="00362DA5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  <w:r w:rsidRPr="003E2A72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6000" w:rsidRPr="003A2BD1" w:rsidTr="00450FAA">
        <w:tc>
          <w:tcPr>
            <w:tcW w:w="567" w:type="dxa"/>
          </w:tcPr>
          <w:p w:rsidR="00BA6000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BA6000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"Центр новых проектов"</w:t>
            </w:r>
          </w:p>
          <w:p w:rsidR="00BA6000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BA6000" w:rsidRDefault="00BA6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A6000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6000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действующий договор страхования гражданской ответственности;</w:t>
            </w:r>
          </w:p>
          <w:p w:rsidR="00BA6000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уведомления о внесении специалистов в НРС НОПРИЗ.</w:t>
            </w:r>
          </w:p>
          <w:p w:rsidR="00BA6000" w:rsidRPr="00655296" w:rsidRDefault="00BA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6000" w:rsidRPr="003E2A72" w:rsidRDefault="00BA6000" w:rsidP="00BA6000">
            <w:pPr>
              <w:ind w:right="54"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 w:rsidRPr="004052DE">
              <w:rPr>
                <w:rFonts w:ascii="Times New Roman" w:hAnsi="Times New Roman" w:cs="Times New Roman"/>
              </w:rPr>
              <w:t xml:space="preserve">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655296">
              <w:rPr>
                <w:rFonts w:ascii="Times New Roman" w:hAnsi="Times New Roman" w:cs="Times New Roman"/>
              </w:rPr>
              <w:t xml:space="preserve">» 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21.09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BA6000" w:rsidRDefault="00BA6000" w:rsidP="00362DA5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655296">
              <w:rPr>
                <w:rFonts w:ascii="Times New Roman" w:hAnsi="Times New Roman" w:cs="Times New Roman"/>
              </w:rPr>
              <w:t xml:space="preserve">» </w:t>
            </w:r>
            <w:r w:rsidRPr="003E2A72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302E" w:rsidRPr="003A2BD1" w:rsidTr="0084078B">
        <w:tc>
          <w:tcPr>
            <w:tcW w:w="567" w:type="dxa"/>
          </w:tcPr>
          <w:p w:rsidR="00BA302E" w:rsidRPr="00655296" w:rsidRDefault="00EE5336" w:rsidP="0084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BA302E" w:rsidRPr="00655296" w:rsidRDefault="00BA302E" w:rsidP="0084078B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BA302E" w:rsidRPr="00655296" w:rsidRDefault="00BA302E" w:rsidP="0084078B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BA302E" w:rsidRPr="00655296" w:rsidRDefault="00BA302E" w:rsidP="0084078B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A302E" w:rsidRDefault="00BA302E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BA302E" w:rsidRPr="00655296" w:rsidRDefault="00BA302E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25.05.2021 г.</w:t>
            </w:r>
            <w:r w:rsidR="003C0023">
              <w:rPr>
                <w:rFonts w:ascii="Times New Roman" w:hAnsi="Times New Roman"/>
                <w:b/>
              </w:rPr>
              <w:t>, 07.07.2021 г.</w:t>
            </w:r>
          </w:p>
        </w:tc>
        <w:tc>
          <w:tcPr>
            <w:tcW w:w="5103" w:type="dxa"/>
          </w:tcPr>
          <w:p w:rsidR="00BA6000" w:rsidRPr="007A0B21" w:rsidRDefault="00BA6000" w:rsidP="00BA600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BA6000" w:rsidRDefault="00BA6000" w:rsidP="00BA6000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BA302E" w:rsidRPr="00855A1B" w:rsidRDefault="00BA302E" w:rsidP="00BA302E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A06EF4" w:rsidRPr="003A2BD1" w:rsidTr="00450FAA">
        <w:tc>
          <w:tcPr>
            <w:tcW w:w="567" w:type="dxa"/>
          </w:tcPr>
          <w:p w:rsidR="00A06EF4" w:rsidRPr="003E2A72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</w:tcPr>
          <w:p w:rsidR="00A06EF4" w:rsidRPr="003E2A72" w:rsidRDefault="00CB5A1A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CB5A1A" w:rsidRPr="003E2A72" w:rsidRDefault="00CB5A1A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A06EF4" w:rsidRPr="003E2A72" w:rsidRDefault="00CB5A1A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06EF4" w:rsidRDefault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3E2A72" w:rsidRDefault="003C0023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</w:t>
            </w:r>
          </w:p>
        </w:tc>
        <w:tc>
          <w:tcPr>
            <w:tcW w:w="5103" w:type="dxa"/>
          </w:tcPr>
          <w:p w:rsidR="000055EC" w:rsidRPr="00D64EAF" w:rsidRDefault="000055EC" w:rsidP="000055E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18.08.2021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21.09.2021 г.</w:t>
            </w:r>
          </w:p>
          <w:p w:rsidR="00A06EF4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"КРОССФИЛД"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CB5A1A">
              <w:rPr>
                <w:rFonts w:ascii="Times New Roman" w:hAnsi="Times New Roman" w:cs="Times New Roman"/>
              </w:rPr>
              <w:t>КРОССФИЛД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F20E90" w:rsidRPr="00D64EAF" w:rsidRDefault="00F20E90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«Техника»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3C0023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A6000" w:rsidRPr="003A2BD1" w:rsidTr="00450FAA">
        <w:tc>
          <w:tcPr>
            <w:tcW w:w="567" w:type="dxa"/>
          </w:tcPr>
          <w:p w:rsidR="00BA6000" w:rsidRPr="003E2A72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E2A7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3E2A72">
              <w:rPr>
                <w:rFonts w:ascii="Times New Roman" w:hAnsi="Times New Roman" w:cs="Times New Roman"/>
              </w:rPr>
              <w:t xml:space="preserve"> В.Р.</w:t>
            </w:r>
          </w:p>
          <w:p w:rsidR="00BA6000" w:rsidRPr="003E2A72" w:rsidRDefault="00BA6000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BA6000" w:rsidRPr="003E2A72" w:rsidRDefault="00BA6000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A6000" w:rsidRDefault="00BA6000" w:rsidP="0084078B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BA6000" w:rsidRPr="003E2A72" w:rsidRDefault="00BA6000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07.07.2021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6000" w:rsidRPr="003E2A72" w:rsidRDefault="00BA6000" w:rsidP="00362DA5">
            <w:pPr>
              <w:ind w:right="54"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</w:t>
            </w:r>
            <w:r w:rsidRPr="00405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</w:t>
            </w:r>
            <w:r w:rsidRPr="003E2A72">
              <w:rPr>
                <w:rFonts w:ascii="Times New Roman" w:hAnsi="Times New Roman" w:cs="Times New Roman"/>
              </w:rPr>
              <w:lastRenderedPageBreak/>
              <w:t xml:space="preserve">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21.09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BA6000" w:rsidRDefault="00BA6000" w:rsidP="00362DA5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A72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BA6000" w:rsidRPr="00F94DF8" w:rsidRDefault="00BA6000" w:rsidP="00362DA5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«ГК ЭНЕРГО»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 xml:space="preserve">ООО 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«ПРОЕКТЕКС»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CB5A1A">
              <w:rPr>
                <w:rFonts w:ascii="Times New Roman" w:hAnsi="Times New Roman" w:cs="Times New Roman"/>
              </w:rPr>
              <w:t>ПРОЕКТЕКС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2D2B19" w:rsidRPr="00D64EAF" w:rsidRDefault="002D2B19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="003C0023" w:rsidRPr="00B16F34">
              <w:rPr>
                <w:rFonts w:ascii="Times New Roman" w:hAnsi="Times New Roman"/>
                <w:b/>
              </w:rPr>
              <w:lastRenderedPageBreak/>
              <w:t xml:space="preserve">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A0B87" w:rsidRPr="00D64EAF" w:rsidRDefault="004A0B8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«СК НАТЕКО»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CB5A1A">
              <w:rPr>
                <w:rFonts w:ascii="Times New Roman" w:hAnsi="Times New Roman" w:cs="Times New Roman"/>
              </w:rPr>
              <w:t>СК НАТЕКО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7444E0" w:rsidRPr="00D64EAF" w:rsidRDefault="007444E0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CB5A1A">
              <w:rPr>
                <w:rFonts w:ascii="Times New Roman" w:hAnsi="Times New Roman" w:cs="Times New Roman"/>
              </w:rPr>
              <w:t>СИСТЕМ «Компания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A0B87" w:rsidRPr="00D64EAF" w:rsidRDefault="004A0B8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«СКРИН СЕРВИС»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Pr="00F94DF8" w:rsidRDefault="000055EC" w:rsidP="000055EC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СКРИН СЕРВИС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C0AF7" w:rsidRPr="00D64EAF" w:rsidRDefault="000055EC" w:rsidP="000055E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СКРИН СЕРВИС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22.09.2021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CB5A1A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9706005173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3C0023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="003C0023" w:rsidRPr="00B16F34">
              <w:rPr>
                <w:rFonts w:ascii="Times New Roman" w:hAnsi="Times New Roman"/>
                <w:b/>
              </w:rPr>
              <w:lastRenderedPageBreak/>
              <w:t xml:space="preserve">комитета от </w:t>
            </w:r>
            <w:r w:rsidR="003C0023">
              <w:rPr>
                <w:rFonts w:ascii="Times New Roman" w:hAnsi="Times New Roman"/>
                <w:b/>
              </w:rPr>
              <w:t>07.07.2021 г.</w:t>
            </w:r>
            <w:r w:rsidR="003C0023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055EC" w:rsidRDefault="000055EC" w:rsidP="000055EC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CB5A1A">
              <w:rPr>
                <w:rFonts w:ascii="Times New Roman" w:hAnsi="Times New Roman" w:cs="Times New Roman"/>
              </w:rPr>
              <w:t xml:space="preserve"> Инжиниринг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F4119C" w:rsidRPr="00D64EAF" w:rsidRDefault="00F4119C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7714859337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Default="00E626FD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C0AF7"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3C0023" w:rsidRPr="00655296" w:rsidRDefault="00E626FD" w:rsidP="001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1E4157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1E4157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1E4157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1E4157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1E4157" w:rsidRPr="00542F99">
              <w:rPr>
                <w:rFonts w:ascii="Times New Roman" w:hAnsi="Times New Roman"/>
                <w:b/>
              </w:rPr>
              <w:t xml:space="preserve"> от</w:t>
            </w:r>
            <w:r w:rsidR="001E4157">
              <w:rPr>
                <w:rFonts w:ascii="Times New Roman" w:hAnsi="Times New Roman"/>
                <w:b/>
              </w:rPr>
              <w:t xml:space="preserve"> 07.07.2021 г.</w:t>
            </w:r>
          </w:p>
        </w:tc>
        <w:tc>
          <w:tcPr>
            <w:tcW w:w="5103" w:type="dxa"/>
          </w:tcPr>
          <w:p w:rsidR="00BA6000" w:rsidRPr="00D64EAF" w:rsidRDefault="00BA6000" w:rsidP="00BA6000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18.08.2021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23.08.2021 г.</w:t>
            </w:r>
          </w:p>
          <w:p w:rsidR="00EC0AF7" w:rsidRPr="001C2E29" w:rsidRDefault="00BA6000" w:rsidP="00BA600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22.09.2021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519A" w:rsidRPr="003A2BD1" w:rsidTr="00450FAA">
        <w:tc>
          <w:tcPr>
            <w:tcW w:w="567" w:type="dxa"/>
          </w:tcPr>
          <w:p w:rsidR="00A2519A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A2519A" w:rsidRDefault="00A2519A" w:rsidP="00CC525C">
            <w:pPr>
              <w:ind w:right="54"/>
              <w:rPr>
                <w:rFonts w:ascii="Times New Roman" w:hAnsi="Times New Roman" w:cs="Times New Roman"/>
              </w:rPr>
            </w:pPr>
            <w:r w:rsidRPr="00A2519A">
              <w:rPr>
                <w:rFonts w:ascii="Times New Roman" w:hAnsi="Times New Roman" w:cs="Times New Roman"/>
              </w:rPr>
              <w:t>ООО «ГК ЭНЕРГО»</w:t>
            </w:r>
          </w:p>
          <w:p w:rsidR="00A2519A" w:rsidRPr="00CB5A1A" w:rsidRDefault="00A2519A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2519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A2519A" w:rsidRDefault="00A2519A" w:rsidP="001D3314"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3C0023" w:rsidRDefault="00E626FD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C0023"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 w:rsidR="003C0023">
              <w:rPr>
                <w:rFonts w:ascii="Times New Roman" w:hAnsi="Times New Roman" w:cs="Times New Roman"/>
              </w:rPr>
              <w:t>1.5</w:t>
            </w:r>
            <w:r w:rsidR="003C0023"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 w:rsidR="003C0023"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="003C0023" w:rsidRPr="00655296">
              <w:rPr>
                <w:rFonts w:ascii="Times New Roman" w:hAnsi="Times New Roman" w:cs="Times New Roman"/>
              </w:rPr>
              <w:t>плановой проверки</w:t>
            </w:r>
            <w:r w:rsidR="003C0023">
              <w:rPr>
                <w:rFonts w:ascii="Times New Roman" w:hAnsi="Times New Roman" w:cs="Times New Roman"/>
              </w:rPr>
              <w:t>.</w:t>
            </w:r>
          </w:p>
          <w:p w:rsidR="00A2519A" w:rsidRPr="00EC0AF7" w:rsidRDefault="00A2519A" w:rsidP="00840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6000" w:rsidRPr="00D64EAF" w:rsidRDefault="00BA6000" w:rsidP="00BA600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A2519A">
              <w:rPr>
                <w:rFonts w:ascii="Times New Roman" w:hAnsi="Times New Roman" w:cs="Times New Roman"/>
              </w:rPr>
              <w:t>ГК ЭНЕРГО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20.09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BA6000" w:rsidRDefault="00BA6000" w:rsidP="00BA600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A2519A">
              <w:rPr>
                <w:rFonts w:ascii="Times New Roman" w:hAnsi="Times New Roman" w:cs="Times New Roman"/>
              </w:rPr>
              <w:t>ГК ЭНЕРГО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22.09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  <w:p w:rsidR="00A2519A" w:rsidRPr="001C2E29" w:rsidRDefault="00A2519A" w:rsidP="00A533C1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2FC2" w:rsidRPr="003A2BD1" w:rsidTr="00450FAA">
        <w:tc>
          <w:tcPr>
            <w:tcW w:w="567" w:type="dxa"/>
          </w:tcPr>
          <w:p w:rsidR="00E12FC2" w:rsidRDefault="00EE533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E12FC2" w:rsidRDefault="00E12FC2" w:rsidP="00E12FC2">
            <w:pPr>
              <w:ind w:right="54"/>
              <w:rPr>
                <w:rFonts w:ascii="Times New Roman" w:hAnsi="Times New Roman" w:cs="Times New Roman"/>
              </w:rPr>
            </w:pPr>
            <w:bookmarkStart w:id="0" w:name="_GoBack"/>
            <w:r w:rsidRPr="00A2519A">
              <w:rPr>
                <w:rFonts w:ascii="Times New Roman" w:hAnsi="Times New Roman" w:cs="Times New Roman"/>
              </w:rPr>
              <w:t>ООО «</w:t>
            </w:r>
            <w:r w:rsidRPr="00E12FC2">
              <w:rPr>
                <w:rFonts w:ascii="Times New Roman" w:hAnsi="Times New Roman" w:cs="Times New Roman"/>
              </w:rPr>
              <w:t>Ай Пи Групп</w:t>
            </w:r>
            <w:r w:rsidRPr="00A2519A">
              <w:rPr>
                <w:rFonts w:ascii="Times New Roman" w:hAnsi="Times New Roman" w:cs="Times New Roman"/>
              </w:rPr>
              <w:t>»</w:t>
            </w:r>
          </w:p>
          <w:p w:rsidR="00E12FC2" w:rsidRPr="00A2519A" w:rsidRDefault="00E12FC2" w:rsidP="00E12FC2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12FC2">
              <w:rPr>
                <w:rFonts w:ascii="Times New Roman" w:hAnsi="Times New Roman" w:cs="Times New Roman"/>
              </w:rPr>
              <w:t>1655247956</w:t>
            </w:r>
            <w:bookmarkEnd w:id="0"/>
          </w:p>
        </w:tc>
        <w:tc>
          <w:tcPr>
            <w:tcW w:w="1276" w:type="dxa"/>
          </w:tcPr>
          <w:p w:rsidR="00E12FC2" w:rsidRDefault="00E12FC2" w:rsidP="00362DA5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12FC2" w:rsidRDefault="004A4307" w:rsidP="00E12FC2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Департамента градостроительной политики города Москвы о нарушении обязательств по договору.</w:t>
            </w:r>
          </w:p>
          <w:p w:rsidR="00E12FC2" w:rsidRPr="00EC0AF7" w:rsidRDefault="00E12FC2" w:rsidP="00840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12FC2" w:rsidRPr="00674853" w:rsidRDefault="00E12FC2" w:rsidP="00674853">
            <w:pPr>
              <w:pStyle w:val="a7"/>
              <w:numPr>
                <w:ilvl w:val="0"/>
                <w:numId w:val="41"/>
              </w:numPr>
              <w:tabs>
                <w:tab w:val="left" w:pos="239"/>
              </w:tabs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</w:t>
            </w:r>
            <w:r w:rsidRPr="00D64EAF">
              <w:rPr>
                <w:rFonts w:ascii="Times New Roman" w:hAnsi="Times New Roman"/>
                <w:color w:val="000000"/>
              </w:rPr>
              <w:t>Дисциплинарного комитета</w:t>
            </w:r>
            <w:r>
              <w:rPr>
                <w:rFonts w:ascii="Times New Roman" w:hAnsi="Times New Roman"/>
                <w:color w:val="000000"/>
              </w:rPr>
              <w:t xml:space="preserve"> отложить до 27.08.2021 г.</w:t>
            </w:r>
          </w:p>
          <w:p w:rsidR="00E12FC2" w:rsidRPr="00674853" w:rsidRDefault="00E12FC2" w:rsidP="00E12FC2">
            <w:pPr>
              <w:pStyle w:val="a7"/>
              <w:numPr>
                <w:ilvl w:val="0"/>
                <w:numId w:val="41"/>
              </w:numPr>
              <w:tabs>
                <w:tab w:val="left" w:pos="239"/>
              </w:tabs>
              <w:ind w:left="34" w:firstLine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Уведомить стороны о том, что заседание  </w:t>
            </w:r>
            <w:r w:rsidRPr="00D64EAF">
              <w:rPr>
                <w:rFonts w:ascii="Times New Roman" w:hAnsi="Times New Roman"/>
                <w:color w:val="000000"/>
              </w:rPr>
              <w:t>Дисциплинарного комитета</w:t>
            </w:r>
            <w:r>
              <w:rPr>
                <w:rFonts w:ascii="Times New Roman" w:hAnsi="Times New Roman"/>
                <w:color w:val="000000"/>
              </w:rPr>
              <w:t xml:space="preserve"> состоится 27.08.2021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467A1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D300-D7CA-4731-9FC7-ABEE9AA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2021-08-18T14:45:00Z</cp:lastPrinted>
  <dcterms:created xsi:type="dcterms:W3CDTF">2021-07-27T07:54:00Z</dcterms:created>
  <dcterms:modified xsi:type="dcterms:W3CDTF">2021-08-18T15:25:00Z</dcterms:modified>
</cp:coreProperties>
</file>